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303</w:t>
      </w:r>
    </w:p>
    <w:p>
      <w:r>
        <w:t>Bundesgericht (BGE), 2007-10-10, DE</w:t>
      </w:r>
    </w:p>
    <w:p>
      <w:r>
        <w:rPr>
          <w:b/>
        </w:rPr>
        <w:t xml:space="preserve">Quelle: </w:t>
      </w:r>
      <w:r>
        <w:t>https://mcp.opencaselaw.ch/entscheid/bge_133 IV 303</w:t>
      </w:r>
    </w:p>
    <w:p>
      <w:r>
        <w:t>FR: ATF 133 IV 303</w:t>
      </w:r>
    </w:p>
    <w:p>
      <w:r>
        <w:t>IT: DTF 133 IV 303</w:t>
      </w:r>
    </w:p>
    <w:p>
      <w:pPr>
        <w:pStyle w:val="Heading2"/>
      </w:pPr>
      <w:r>
        <w:t>Regeste</w:t>
      </w:r>
    </w:p>
    <w:p>
      <w:r>
        <w:t>Regeste Verhältnis von Steuerbetrug und Urkundenfälschung. Ist nachgewiesen, dass der Täter mit einer Falschbeurkundung nicht nur einen steuerlichen Vorteil anstrebte, sondern auch eine - objektiv mögliche - Verwendung des Dokuments im nicht-fiskalischen Bereich beabsichtigte oder zumindest in Kauf nahm, liegt echte Konkurrenz zwischen Steuerdelikt und gemeinrechtlichem Urkundendelikt vor (Bestätigung der Rechtsprechung; E. 4.5). Wer eine inhaltlich unrichtige Handelsbilanz einer Aktiengesellschaft erstellt, nimmt in aller Regel in Kauf, dass diese nicht nur im Verhältnis zu den Steuerbehörden, sondern auch im nicht-fiskalischen Bereich Verwendung findet. Einer tatsächlichen Überlassung der Urkunden an Drittpersonen bedarf es nicht (Bestätigung der Rechtsprechung; E. 4.6). Wird der Geschäftsgewinn fiktiv geschmälert, besteht für die Aktiengesellschaft insbesondere das Risiko, dass Nach- und Strafsteuern bezahlt werden müssen, wenn die Sache entdeckt wird. Diese Zahlungen mindern die Liquidität der Gesellschaft und können so Gläubigerinteressen tangieren. Wird in einer Handelsbilanz massgebender Lohn fälschlicherweise als Kapitalertrag deklariert, kann dies zu einer Schädigung der Sozialversicherung führen (E. 4.8).</w:t>
      </w:r>
    </w:p>
    <w:p>
      <w:pPr>
        <w:pStyle w:val="Heading2"/>
      </w:pPr>
      <w:r>
        <w:t>Erwägungen</w:t>
      </w:r>
    </w:p>
    <w:p>
      <w:r>
        <w:rPr>
          <w:b/>
        </w:rPr>
        <w:t>E. 2</w:t>
      </w:r>
    </w:p>
    <w:p>
      <w:r>
        <w:t>Den Verurteilungen liegt folgender Sachverhalt zugrunde: Der Beschwerdeführer hat zusammen mit seinem Geschäftspartner A. 1991 eine Aktiengesellschaft (AG) gegründet, bei welcher A. als Präsident und der Beschwerdeführer als Vize-Präsident des Verwaltungsrats mit Einzelunterschrift amteten. Zwischen 1995 und 2001 veranlassten die beiden Geschäftspartner mit fiktiven Rechnungen Zahlungen der AG auf ein Bankkonto und verwendeten die einbezahlten Beträge zu privaten Zwecken. Diese Privatbezüge belasteten sie dem Aufwandkonto "Leistungen Dritter" der AG und reichten den Steuerbehörden zusammen mit der Steuererklärung Erfolgsrechnungen ein, welche einen fiktiv erhöhten Geschäftsaufwand auswiesen. Hierdurch wurden der steuerbare Geschäftsgewinn um insgesamt Fr. 622'790.- geschmälert und im Ergebnis rund Fr. 191'000.- an Steuern hinterzogen. (...)</w:t>
      </w:r>
    </w:p>
    <w:p>
      <w:r>
        <w:rPr>
          <w:b/>
        </w:rPr>
        <w:t>E. 4</w:t>
      </w:r>
    </w:p>
    <w:p>
      <w:r>
        <w:t>(...)</w:t>
      </w:r>
    </w:p>
    <w:p>
      <w:r>
        <w:rPr>
          <w:b/>
        </w:rPr>
        <w:t>E. 4.5</w:t>
      </w:r>
    </w:p>
    <w:p>
      <w:r>
        <w:t>Zu klären bleibt das Verhältnis zwischen den Tatbeständen des Steuerbetrugs und der Urkundenfälschung. Wer mit einem Urkundenfälschungsdelikt ausschliesslich Steuervorschriften umgehen will, ist einzig nach Steuerstrafrecht zu beurteilen. Ist hingegen nachgewiesen, dass der Täter mit seiner Fälschung oder Falschbeurkundung nicht nur einen steuerlichen Vorteil erstrebte, sondern auch eine - objektiv mögliche - Verwendung des Dokuments im nicht-fiskalischen Bereich beabsichtigte oder zumindest in Kauf nahm, so liegt echte Konkurrenz zwischen Steuerdelikt und gemeinrechtlichem Urkundendelikt vor (MARKUS BOOG, Basler Kommentar, StGB II, 2003, Art. 251 StGB N. 107; ANDREAS DONATSCH/WOLFGANG WOHLERS, Strafrecht IV, Delikte gegen die Allgemeinheit, 3. Aufl., Zürich 2004, S. 155; STEFAN TRECHSEL, Schweizerisches Strafgesetzbuch, Kurzkommentar, 2. Aufl., Zürich 1997, Art. 251 StGB N. 20; GÜNTER STRATENWERTH, Schweizerisches Strafrecht, Besonderer Teil II: Straftaten gegen Gemeininteressen, 5. Aufl., Bern 2000, § 36 N. 59; derselbe , Urkundendelikte unter dem Aspekt der Wirtschaftskriminalität, SJZ 76/1980 S. 10 f.; HANS SCHULTZ, Die strafrechtliche Rechtsprechung des Bundesgerichts im Jahre 1996, ZBJV 133/1997 S. 401; vgl. auch ANDREAS DONATSCH, Besprechung von BGE 122 IV 25 ff., SZW 1997 S. 262; GUIDO JENNY, Zur Frage BGE 133 IV 303 S. 306 der Konkurrenz zwischen Steuerstrafrecht und gemeinem Strafrecht im Bereich der Urkundendelikte, ZStrR 97/1980 S. 121 ff.; A. HAEFLIGER, Urkundendelikte des Strafgesetzbuches und kantonales Steuerstrafrecht, ZStrR 71/1956 S. 68 f.).</w:t>
      </w:r>
    </w:p>
    <w:p>
      <w:r>
        <w:rPr>
          <w:b/>
        </w:rPr>
        <w:t>E. 4.6</w:t>
      </w:r>
    </w:p>
    <w:p>
      <w:r>
        <w:t>Während bei einfachen Gesellschaften - auf welche sich der vom Beschwerdeführer angeführte BGE 108 IV 27 bezieht - das Vermögen der Gesellschaft lediglich abstrakt ausgeschieden ist und die Gesellschafter unbeschränkt für Gesellschaftsschulden haften, kommt der Buchhaltung bei Aktiengesellschaften eine erhöhte Bedeutung zu, da diese dem Nachweis des Gesellschaftsvermögens dient. Die Handelsbilanz einer AG hat stets die Funktion, nicht nur im Verhältnis zu den Steuerbehörden, sondern auch und vor allem gegenüber Dritten als Ausweis über die finanzielle Situation der Gesellschaft zu dienen. Wer eine inhaltlich unrichtige Handelsbilanz erstellt, nimmt daher in aller Regel in Kauf, dass diese nicht nur im Verhältnis zu den Steuerbehörden, sondern auch im nicht-fiskalischen Bereich Verwendung findet. Das reicht grundsätzlich für die Anwendung von Art. 251 StGB aus, denn der Täter muss sich - wie die Vorinstanz zutreffend festhält - sein Wissen um die Relevanz der Dokumente im Rechtsverkehr anrechnen lassen. Einer tatsächlichen Überlassung der Urkunden an Drittpersonen bedarf es nicht (vgl. auch BOOG, a.a.O., Art. 251 StGB N. 107). Art. 251 StGB wäre einzig nicht anwendbar, wenn neben einer inhaltlich richtigen Handelsbilanz eine inhaltlich falsche, ausschliesslich für Steuerzwecke erstellte und als solche bezeichnete Steuerbilanz errichtet würde (vgl. zum Ganzen BGE 122 IV 25 E. 3c). Dies aber ist vorliegend nicht der Fall. (...)</w:t>
      </w:r>
    </w:p>
    <w:p>
      <w:r>
        <w:rPr>
          <w:b/>
        </w:rPr>
        <w:t>E. 4.8</w:t>
      </w:r>
    </w:p>
    <w:p>
      <w:r>
        <w:t>Im Übrigen ist entgegen der Auffassung des Beschwerdeführers bei Erfolgsrechnungen, welche das Ergebnis der Unternehmung negativer darstellen, als dies in Tat und Wahrheit der Fall ist, die Erlangung eines eigenen Vorteils oder einer Schädigung Dritter - wie namentlich von Gläubigern oder der AHV - nicht per se ausgeschlossen: Wird zum Zwecke der Steuerhinterziehung der Geschäftsgewinn fiktiv geschmälert, besteht für die Gesellschaft insbesondere das Risiko, dass Nach- und Strafsteuern bezahlt werden müssen, wenn die Sache entdeckt wird. Diese Zahlungen mindern die Liquidität der Gesellschaft und können so Gläubigerinteressen tangieren. BGE 133 IV 303 S. 307 Ebenso kann die Falschbeurkundung sozialversicherungsrechtlich bedeutsam sein. Gemäss Art. 7 lit. h der Verordnung über die Alters- und Hinterlassenenversicherung (AHVV; SR 831.101) gehören Tantiemen, feste Entschädigungen und Sitzungsgelder an die Mitglieder der Verwaltung und der geschäftsführenden Organe zum massgeblichen beitragspflichtigen Lohn. Richtet eine AG Leistungen an Arbeitnehmer aus, die gleichzeitig Inhaber gesellschaftlicher Beteiligungsrechte sind oder Inhabern solcher Rechte nahestehen, erhebt sich bei der Festsetzung sowohl der direkten Bundessteuer als auch der Sozialversicherungsbeiträge die Frage, ob und inwieweit es sich dabei um Arbeitsentgelt (massgebenden Lohn) oder aber um eine verdeckte Gewinnausschüttung (Kapitalertrag) handelt. Letztere unterliegt der direkten Bundessteuer im Sinne von Art. 20 Abs. 1 lit. c des Bundesgesetzes über die direkte Bundessteuer (DBG; SR 642.11) , da sie ihren Grund in der Aktionärseigenschaft des Empfängers hat. Die Sozialversicherung ist daran interessiert zu verhindern, dass massgebender Lohn fälschlicherweise als Kapitalertrag deklariert wird und dadurch der Beitragserhebung entgeht ( BGE 103 V 1 E. 2b; ROLAND MÜLLER, Der Verwaltungsrat als Arbeitnehmer, Zürich/Basel/Genf 2005, S. 377 ff.). Es ist dabei Sache der Ausgleichskassen, selbstständig zu beurteilen, ob ein Einkommensbestandteil als massgebender Lohn oder als Kapitalertrag zu qualifizieren ist. Allerdings halten sich die Ausgleichskassen bei ihrem Entscheid in der Regel an die bundessteuerrechtliche Betrachtungsweise (vgl. Art. 23 AHVV ). Die Falschbeurkundung des Beschwerdeführers kann mithin durchaus dazu führen, dass dieser seiner AHV-Beitragspflicht nicht (vollumfänglich) nachkommt und hierdurch einen unrechtmässigen Vorteil erwirkt, bzw. die Sozialversicherung schädigt (vgl. auch Art. 87 des Bundesgesetzes über die Alters- und Hinterlassenenversicherung [AHVG; SR 831.10] ).</w:t>
      </w:r>
    </w:p>
    <w:p>
      <w:r>
        <w:rPr>
          <w:b/>
        </w:rPr>
        <w:t>E. 4.9</w:t>
      </w:r>
    </w:p>
    <w:p>
      <w:r>
        <w:t>Zusammenfassend ist somit festzuhalten, dass der Beschwerdeführer durch seine Erstellung einer inhaltlich unrichtigen Handelsbilanz zum Zwecke der Steuerhinterziehung die Verwendung der Urkunden im nicht-fiskalischen Bereich und die Täuschung von Dritten zwangsläufig billigend in Kauf genommen hat, konnte er doch nicht von vornherein wissen, wofür die Erfolgsrechnung noch Verwendung findet. Es liegt folglich echte Konkurrenz zwischen den Tatbeständen des Steuerbetrugs und der Urkundenfälschung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